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</w:rPr>
      </w:pPr>
      <w:r w:rsidRPr="00112A1D">
        <w:rPr>
          <w:rFonts w:ascii="Times New Roman" w:hAnsi="Times New Roman" w:cs="Times New Roman"/>
          <w:noProof/>
        </w:rPr>
        <w:drawing>
          <wp:inline distT="0" distB="0" distL="0" distR="0">
            <wp:extent cx="1005840" cy="108204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  <w:color w:val="000000"/>
          <w:szCs w:val="28"/>
        </w:rPr>
      </w:pPr>
    </w:p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112A1D">
        <w:rPr>
          <w:rFonts w:ascii="Times New Roman" w:hAnsi="Times New Roman" w:cs="Times New Roman"/>
          <w:b/>
          <w:bCs/>
          <w:color w:val="000000"/>
          <w:sz w:val="32"/>
          <w:szCs w:val="28"/>
        </w:rPr>
        <w:t>ПРАВИТЕЛЬСТВО</w:t>
      </w:r>
    </w:p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r w:rsidRPr="00112A1D">
        <w:rPr>
          <w:rFonts w:ascii="Times New Roman" w:hAnsi="Times New Roman" w:cs="Times New Roman"/>
          <w:b/>
          <w:bCs/>
          <w:color w:val="000000"/>
          <w:sz w:val="32"/>
          <w:szCs w:val="28"/>
        </w:rPr>
        <w:t>ТВЕРСКОЙ ОБЛАСТИ</w:t>
      </w:r>
    </w:p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</w:p>
    <w:p w:rsidR="00975252" w:rsidRPr="00112A1D" w:rsidRDefault="00975252" w:rsidP="00975252">
      <w:pPr>
        <w:ind w:left="-567" w:firstLine="0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</w:rPr>
      </w:pPr>
      <w:proofErr w:type="gramStart"/>
      <w:r w:rsidRPr="00112A1D">
        <w:rPr>
          <w:rFonts w:ascii="Times New Roman" w:hAnsi="Times New Roman" w:cs="Times New Roman"/>
          <w:b/>
          <w:bCs/>
          <w:color w:val="000000"/>
          <w:sz w:val="32"/>
          <w:szCs w:val="28"/>
        </w:rPr>
        <w:t>П</w:t>
      </w:r>
      <w:proofErr w:type="gramEnd"/>
      <w:r w:rsidRPr="00112A1D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О С Т А Н О В Л Е Н И Е</w:t>
      </w:r>
    </w:p>
    <w:p w:rsidR="00975252" w:rsidRPr="00112A1D" w:rsidRDefault="00975252" w:rsidP="00975252">
      <w:pPr>
        <w:ind w:left="-284" w:firstLine="0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/>
      </w:tblPr>
      <w:tblGrid>
        <w:gridCol w:w="2835"/>
        <w:gridCol w:w="3186"/>
        <w:gridCol w:w="3335"/>
      </w:tblGrid>
      <w:tr w:rsidR="00975252" w:rsidRPr="00112A1D" w:rsidTr="007932E3">
        <w:tc>
          <w:tcPr>
            <w:tcW w:w="2835" w:type="dxa"/>
          </w:tcPr>
          <w:p w:rsidR="00975252" w:rsidRPr="00112A1D" w:rsidRDefault="00975252" w:rsidP="007932E3">
            <w:pPr>
              <w:ind w:left="-249" w:firstLine="425"/>
              <w:rPr>
                <w:rFonts w:ascii="Times New Roman" w:hAnsi="Times New Roman" w:cs="Times New Roman"/>
                <w:bCs/>
                <w:sz w:val="28"/>
              </w:rPr>
            </w:pPr>
            <w:r w:rsidRPr="00112A1D">
              <w:rPr>
                <w:rFonts w:ascii="Times New Roman" w:hAnsi="Times New Roman" w:cs="Times New Roman"/>
                <w:bCs/>
                <w:sz w:val="28"/>
                <w:lang w:val="en-US"/>
              </w:rPr>
              <w:t>0</w:t>
            </w:r>
            <w:r w:rsidRPr="00112A1D">
              <w:rPr>
                <w:rFonts w:ascii="Times New Roman" w:hAnsi="Times New Roman" w:cs="Times New Roman"/>
                <w:bCs/>
                <w:sz w:val="28"/>
              </w:rPr>
              <w:t>7</w:t>
            </w:r>
            <w:r w:rsidRPr="00112A1D">
              <w:rPr>
                <w:rFonts w:ascii="Times New Roman" w:hAnsi="Times New Roman" w:cs="Times New Roman"/>
                <w:bCs/>
                <w:sz w:val="28"/>
                <w:lang w:val="en-US"/>
              </w:rPr>
              <w:t>.</w:t>
            </w:r>
            <w:r w:rsidRPr="00112A1D">
              <w:rPr>
                <w:rFonts w:ascii="Times New Roman" w:hAnsi="Times New Roman" w:cs="Times New Roman"/>
                <w:bCs/>
                <w:sz w:val="28"/>
              </w:rPr>
              <w:t>0</w:t>
            </w:r>
            <w:r w:rsidRPr="00112A1D">
              <w:rPr>
                <w:rFonts w:ascii="Times New Roman" w:hAnsi="Times New Roman" w:cs="Times New Roman"/>
                <w:bCs/>
                <w:sz w:val="28"/>
                <w:lang w:val="en-US"/>
              </w:rPr>
              <w:t>6</w:t>
            </w:r>
            <w:r w:rsidRPr="00112A1D">
              <w:rPr>
                <w:rFonts w:ascii="Times New Roman" w:hAnsi="Times New Roman" w:cs="Times New Roman"/>
                <w:bCs/>
                <w:sz w:val="28"/>
              </w:rPr>
              <w:t>.2017</w:t>
            </w:r>
          </w:p>
        </w:tc>
        <w:tc>
          <w:tcPr>
            <w:tcW w:w="3186" w:type="dxa"/>
          </w:tcPr>
          <w:p w:rsidR="00975252" w:rsidRPr="00112A1D" w:rsidRDefault="00975252" w:rsidP="007932E3">
            <w:pPr>
              <w:pStyle w:val="2"/>
              <w:ind w:left="-284"/>
              <w:rPr>
                <w:b w:val="0"/>
              </w:rPr>
            </w:pPr>
          </w:p>
        </w:tc>
        <w:tc>
          <w:tcPr>
            <w:tcW w:w="3335" w:type="dxa"/>
          </w:tcPr>
          <w:p w:rsidR="00975252" w:rsidRPr="00112A1D" w:rsidRDefault="00975252" w:rsidP="007932E3">
            <w:pPr>
              <w:ind w:left="-284" w:firstLine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 w:rsidRPr="00112A1D">
              <w:rPr>
                <w:rFonts w:ascii="Times New Roman" w:hAnsi="Times New Roman" w:cs="Times New Roman"/>
                <w:bCs/>
                <w:sz w:val="28"/>
              </w:rPr>
              <w:t xml:space="preserve">№ 172-пп        </w:t>
            </w:r>
          </w:p>
        </w:tc>
      </w:tr>
      <w:tr w:rsidR="00975252" w:rsidRPr="00112A1D" w:rsidTr="007932E3">
        <w:tc>
          <w:tcPr>
            <w:tcW w:w="2835" w:type="dxa"/>
          </w:tcPr>
          <w:p w:rsidR="00975252" w:rsidRPr="00112A1D" w:rsidRDefault="00975252" w:rsidP="007932E3">
            <w:pPr>
              <w:ind w:left="-108" w:firstLine="0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186" w:type="dxa"/>
          </w:tcPr>
          <w:p w:rsidR="00975252" w:rsidRPr="00112A1D" w:rsidRDefault="00975252" w:rsidP="007932E3">
            <w:pPr>
              <w:pStyle w:val="2"/>
              <w:ind w:left="-284"/>
              <w:rPr>
                <w:b w:val="0"/>
              </w:rPr>
            </w:pPr>
            <w:r w:rsidRPr="00112A1D">
              <w:rPr>
                <w:b w:val="0"/>
              </w:rPr>
              <w:t>г</w:t>
            </w:r>
            <w:r w:rsidRPr="00975252">
              <w:rPr>
                <w:b w:val="0"/>
                <w:i w:val="0"/>
              </w:rPr>
              <w:t>. Тверь</w:t>
            </w:r>
          </w:p>
        </w:tc>
        <w:tc>
          <w:tcPr>
            <w:tcW w:w="3335" w:type="dxa"/>
          </w:tcPr>
          <w:p w:rsidR="00975252" w:rsidRPr="00112A1D" w:rsidRDefault="00975252" w:rsidP="007932E3">
            <w:pPr>
              <w:ind w:left="-284" w:firstLine="0"/>
              <w:jc w:val="right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975252" w:rsidRPr="00112A1D" w:rsidRDefault="00975252" w:rsidP="00975252">
      <w:pPr>
        <w:rPr>
          <w:rFonts w:ascii="Times New Roman" w:hAnsi="Times New Roman" w:cs="Times New Roman"/>
        </w:rPr>
      </w:pPr>
    </w:p>
    <w:p w:rsidR="00975252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5252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75252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О Перечне отдаленных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3F">
        <w:rPr>
          <w:rFonts w:ascii="Times New Roman" w:hAnsi="Times New Roman" w:cs="Times New Roman"/>
          <w:b/>
          <w:sz w:val="28"/>
          <w:szCs w:val="28"/>
        </w:rPr>
        <w:t xml:space="preserve">или труднодоступных местностей </w:t>
      </w:r>
    </w:p>
    <w:p w:rsidR="00975252" w:rsidRPr="0023463F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Тверской области, на территории которых организации</w:t>
      </w:r>
    </w:p>
    <w:p w:rsidR="00975252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и индивидуальные предприниматели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3F">
        <w:rPr>
          <w:rFonts w:ascii="Times New Roman" w:hAnsi="Times New Roman" w:cs="Times New Roman"/>
          <w:b/>
          <w:sz w:val="28"/>
          <w:szCs w:val="28"/>
        </w:rPr>
        <w:t xml:space="preserve">вправе </w:t>
      </w:r>
    </w:p>
    <w:p w:rsidR="00975252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при осуществлении расчетов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3F">
        <w:rPr>
          <w:rFonts w:ascii="Times New Roman" w:hAnsi="Times New Roman" w:cs="Times New Roman"/>
          <w:b/>
          <w:sz w:val="28"/>
          <w:szCs w:val="28"/>
        </w:rPr>
        <w:t xml:space="preserve">не применять </w:t>
      </w:r>
    </w:p>
    <w:p w:rsidR="00975252" w:rsidRPr="0023463F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63F">
        <w:rPr>
          <w:rFonts w:ascii="Times New Roman" w:hAnsi="Times New Roman" w:cs="Times New Roman"/>
          <w:b/>
          <w:sz w:val="28"/>
          <w:szCs w:val="28"/>
        </w:rPr>
        <w:t>федеральным законодательством</w:t>
      </w:r>
    </w:p>
    <w:p w:rsidR="00975252" w:rsidRPr="0023463F" w:rsidRDefault="00975252" w:rsidP="00975252">
      <w:pPr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контрольно</w:t>
      </w:r>
      <w:r w:rsidRPr="00DB3C3B">
        <w:rPr>
          <w:rFonts w:ascii="Times New Roman" w:hAnsi="Times New Roman" w:cs="Times New Roman"/>
          <w:sz w:val="28"/>
          <w:szCs w:val="28"/>
        </w:rPr>
        <w:t>-</w:t>
      </w:r>
      <w:r w:rsidRPr="0023463F">
        <w:rPr>
          <w:rFonts w:ascii="Times New Roman" w:hAnsi="Times New Roman" w:cs="Times New Roman"/>
          <w:b/>
          <w:sz w:val="28"/>
          <w:szCs w:val="28"/>
        </w:rPr>
        <w:t>кассовую технику</w:t>
      </w:r>
    </w:p>
    <w:p w:rsidR="00975252" w:rsidRPr="0023463F" w:rsidRDefault="00975252" w:rsidP="00975252">
      <w:pPr>
        <w:rPr>
          <w:rFonts w:ascii="Times New Roman" w:hAnsi="Times New Roman" w:cs="Times New Roman"/>
          <w:sz w:val="28"/>
          <w:szCs w:val="28"/>
        </w:rPr>
      </w:pPr>
    </w:p>
    <w:p w:rsidR="00975252" w:rsidRPr="0023463F" w:rsidRDefault="00975252" w:rsidP="00975252">
      <w:pPr>
        <w:rPr>
          <w:rFonts w:ascii="Times New Roman" w:hAnsi="Times New Roman" w:cs="Times New Roman"/>
          <w:sz w:val="28"/>
          <w:szCs w:val="28"/>
        </w:rPr>
      </w:pPr>
    </w:p>
    <w:p w:rsidR="00975252" w:rsidRPr="00975252" w:rsidRDefault="00975252" w:rsidP="00975252">
      <w:pPr>
        <w:pStyle w:val="a9"/>
        <w:tabs>
          <w:tab w:val="left" w:pos="38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75252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2 Федерального закона </w:t>
      </w:r>
      <w:bookmarkStart w:id="0" w:name="_GoBack"/>
      <w:bookmarkEnd w:id="0"/>
      <w:r w:rsidRPr="00975252">
        <w:rPr>
          <w:rFonts w:ascii="Times New Roman" w:hAnsi="Times New Roman" w:cs="Times New Roman"/>
          <w:sz w:val="28"/>
          <w:szCs w:val="28"/>
        </w:rPr>
        <w:t>от 22.05.2003 № 54-ФЗ «О применении контрольно-кассовой техники при осуществлении наличных д</w:t>
      </w:r>
      <w:r w:rsidRPr="00975252">
        <w:rPr>
          <w:rFonts w:ascii="Times New Roman" w:hAnsi="Times New Roman" w:cs="Times New Roman"/>
          <w:sz w:val="28"/>
          <w:szCs w:val="28"/>
        </w:rPr>
        <w:t>е</w:t>
      </w:r>
      <w:r w:rsidRPr="00975252">
        <w:rPr>
          <w:rFonts w:ascii="Times New Roman" w:hAnsi="Times New Roman" w:cs="Times New Roman"/>
          <w:sz w:val="28"/>
          <w:szCs w:val="28"/>
        </w:rPr>
        <w:t>нежных расчетов и (или) расчетов с использованием электронных сре</w:t>
      </w:r>
      <w:proofErr w:type="gramStart"/>
      <w:r w:rsidRPr="00975252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975252">
        <w:rPr>
          <w:rFonts w:ascii="Times New Roman" w:hAnsi="Times New Roman" w:cs="Times New Roman"/>
          <w:sz w:val="28"/>
          <w:szCs w:val="28"/>
        </w:rPr>
        <w:t>атежа» Правительство Тверской области постановляет:</w:t>
      </w:r>
    </w:p>
    <w:p w:rsidR="00975252" w:rsidRPr="0023463F" w:rsidRDefault="00975252" w:rsidP="00975252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1. Утвердить Перечень отдаленных или труднодоступных местностей Тверской области, на территории которых организации и индивидуальные предприниматели вправе при осуществлении расчетов не применять в соответствии с федеральным з</w:t>
      </w:r>
      <w:r w:rsidRPr="0023463F">
        <w:rPr>
          <w:rFonts w:ascii="Times New Roman" w:hAnsi="Times New Roman" w:cs="Times New Roman"/>
          <w:sz w:val="28"/>
          <w:szCs w:val="28"/>
        </w:rPr>
        <w:t>а</w:t>
      </w:r>
      <w:r w:rsidRPr="0023463F">
        <w:rPr>
          <w:rFonts w:ascii="Times New Roman" w:hAnsi="Times New Roman" w:cs="Times New Roman"/>
          <w:sz w:val="28"/>
          <w:szCs w:val="28"/>
        </w:rPr>
        <w:t>конодательством контрольно-кассовую технику (приложение 1 к настоящему пост</w:t>
      </w:r>
      <w:r w:rsidRPr="0023463F">
        <w:rPr>
          <w:rFonts w:ascii="Times New Roman" w:hAnsi="Times New Roman" w:cs="Times New Roman"/>
          <w:sz w:val="28"/>
          <w:szCs w:val="28"/>
        </w:rPr>
        <w:t>а</w:t>
      </w:r>
      <w:r w:rsidRPr="0023463F">
        <w:rPr>
          <w:rFonts w:ascii="Times New Roman" w:hAnsi="Times New Roman" w:cs="Times New Roman"/>
          <w:sz w:val="28"/>
          <w:szCs w:val="28"/>
        </w:rPr>
        <w:t>новлению).</w:t>
      </w:r>
    </w:p>
    <w:p w:rsidR="00975252" w:rsidRPr="0023463F" w:rsidRDefault="00975252" w:rsidP="00975252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>2. Утвердить критерии включения отдаленных или труднодоступных местностей в перечень отдаленных или труднодоступных местностей Тверской области, на терр</w:t>
      </w:r>
      <w:r w:rsidRPr="0023463F">
        <w:rPr>
          <w:rFonts w:ascii="Times New Roman" w:hAnsi="Times New Roman" w:cs="Times New Roman"/>
          <w:sz w:val="28"/>
          <w:szCs w:val="28"/>
        </w:rPr>
        <w:t>и</w:t>
      </w:r>
      <w:r w:rsidRPr="0023463F">
        <w:rPr>
          <w:rFonts w:ascii="Times New Roman" w:hAnsi="Times New Roman" w:cs="Times New Roman"/>
          <w:sz w:val="28"/>
          <w:szCs w:val="28"/>
        </w:rPr>
        <w:t>тории которых организации и индивидуальные предприниматели вправе при осущес</w:t>
      </w:r>
      <w:r w:rsidRPr="0023463F">
        <w:rPr>
          <w:rFonts w:ascii="Times New Roman" w:hAnsi="Times New Roman" w:cs="Times New Roman"/>
          <w:sz w:val="28"/>
          <w:szCs w:val="28"/>
        </w:rPr>
        <w:t>т</w:t>
      </w:r>
      <w:r w:rsidRPr="0023463F">
        <w:rPr>
          <w:rFonts w:ascii="Times New Roman" w:hAnsi="Times New Roman" w:cs="Times New Roman"/>
          <w:sz w:val="28"/>
          <w:szCs w:val="28"/>
        </w:rPr>
        <w:t>влении расчетов не применять в соответствии с федеральным законодательством ко</w:t>
      </w:r>
      <w:r w:rsidRPr="0023463F">
        <w:rPr>
          <w:rFonts w:ascii="Times New Roman" w:hAnsi="Times New Roman" w:cs="Times New Roman"/>
          <w:sz w:val="28"/>
          <w:szCs w:val="28"/>
        </w:rPr>
        <w:t>н</w:t>
      </w:r>
      <w:r w:rsidRPr="0023463F">
        <w:rPr>
          <w:rFonts w:ascii="Times New Roman" w:hAnsi="Times New Roman" w:cs="Times New Roman"/>
          <w:sz w:val="28"/>
          <w:szCs w:val="28"/>
        </w:rPr>
        <w:t>трольно-кассовую технику (приложение 2 к настоящему постановлению).</w:t>
      </w:r>
    </w:p>
    <w:p w:rsidR="00975252" w:rsidRPr="00975252" w:rsidRDefault="00975252" w:rsidP="00975252">
      <w:pPr>
        <w:pStyle w:val="a9"/>
        <w:tabs>
          <w:tab w:val="left" w:pos="382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75252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Тверской области от 13.07.2004 № 133-па «Об утверждении перечня отдаленных или труднодоступных местностей Тверской области, на территории которых организации и индивидуальные предприниматели могут осуществлять  денежные расчеты и (или) расчеты с использ</w:t>
      </w:r>
      <w:r w:rsidRPr="00975252">
        <w:rPr>
          <w:rFonts w:ascii="Times New Roman" w:hAnsi="Times New Roman" w:cs="Times New Roman"/>
          <w:sz w:val="28"/>
          <w:szCs w:val="28"/>
        </w:rPr>
        <w:t>о</w:t>
      </w:r>
      <w:r w:rsidRPr="00975252">
        <w:rPr>
          <w:rFonts w:ascii="Times New Roman" w:hAnsi="Times New Roman" w:cs="Times New Roman"/>
          <w:sz w:val="28"/>
          <w:szCs w:val="28"/>
        </w:rPr>
        <w:t>ванием платежных карт без применения контрольно-кассовой техники».</w:t>
      </w:r>
    </w:p>
    <w:p w:rsidR="00975252" w:rsidRPr="0023463F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463F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</w:t>
      </w:r>
      <w:hyperlink r:id="rId6" w:history="1">
        <w:r w:rsidRPr="0023463F">
          <w:rPr>
            <w:rStyle w:val="af4"/>
            <w:rFonts w:ascii="Times New Roman" w:eastAsiaTheme="majorEastAsia" w:hAnsi="Times New Roman"/>
            <w:b w:val="0"/>
            <w:sz w:val="28"/>
            <w:szCs w:val="28"/>
          </w:rPr>
          <w:t>официального опублик</w:t>
        </w:r>
        <w:r w:rsidRPr="0023463F">
          <w:rPr>
            <w:rStyle w:val="af4"/>
            <w:rFonts w:ascii="Times New Roman" w:eastAsiaTheme="majorEastAsia" w:hAnsi="Times New Roman"/>
            <w:b w:val="0"/>
            <w:sz w:val="28"/>
            <w:szCs w:val="28"/>
          </w:rPr>
          <w:t>о</w:t>
        </w:r>
        <w:r w:rsidRPr="0023463F">
          <w:rPr>
            <w:rStyle w:val="af4"/>
            <w:rFonts w:ascii="Times New Roman" w:eastAsiaTheme="majorEastAsia" w:hAnsi="Times New Roman"/>
            <w:b w:val="0"/>
            <w:sz w:val="28"/>
            <w:szCs w:val="28"/>
          </w:rPr>
          <w:t>вания.</w:t>
        </w:r>
      </w:hyperlink>
    </w:p>
    <w:p w:rsidR="00975252" w:rsidRPr="0023463F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Pr="0023463F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Pr="0023463F" w:rsidRDefault="00975252" w:rsidP="00975252">
      <w:pPr>
        <w:rPr>
          <w:rFonts w:ascii="Times New Roman" w:hAnsi="Times New Roman" w:cs="Times New Roman"/>
          <w:sz w:val="28"/>
          <w:szCs w:val="28"/>
        </w:rPr>
      </w:pPr>
    </w:p>
    <w:p w:rsidR="00975252" w:rsidRPr="0023463F" w:rsidRDefault="00975252" w:rsidP="0097525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</w:p>
    <w:p w:rsidR="00975252" w:rsidRDefault="00975252" w:rsidP="0097525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3463F">
        <w:rPr>
          <w:rFonts w:ascii="Times New Roman" w:hAnsi="Times New Roman" w:cs="Times New Roman"/>
          <w:b/>
          <w:sz w:val="28"/>
          <w:szCs w:val="28"/>
        </w:rPr>
        <w:t>Тверской области                                                                              И.М. Руденя</w:t>
      </w:r>
    </w:p>
    <w:p w:rsidR="00975252" w:rsidRDefault="00975252" w:rsidP="0097525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617A5" w:rsidRDefault="00D617A5" w:rsidP="00975252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D617A5">
      <w:pPr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75252" w:rsidRPr="00E539CE" w:rsidRDefault="00975252" w:rsidP="00D617A5">
      <w:pPr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9CE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9CE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975252" w:rsidRDefault="00975252" w:rsidP="00D617A5">
      <w:pPr>
        <w:tabs>
          <w:tab w:val="left" w:pos="7371"/>
        </w:tabs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975252" w:rsidRPr="00B24907" w:rsidRDefault="00975252" w:rsidP="00D617A5">
      <w:pPr>
        <w:tabs>
          <w:tab w:val="left" w:pos="7371"/>
        </w:tabs>
        <w:ind w:left="496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07.06.2017 № 172-пп</w:t>
      </w:r>
    </w:p>
    <w:p w:rsidR="00975252" w:rsidRDefault="00975252" w:rsidP="00975252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975252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 xml:space="preserve">Перечень отдаленных или труднодоступных местностей </w:t>
      </w: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 xml:space="preserve">Тверской области, на территории которых организации </w:t>
      </w: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 xml:space="preserve">и индивидуальные предприниматели вправе при осуществлении расчетов </w:t>
      </w: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 xml:space="preserve">не применять в соответствии с федеральным законодательством </w:t>
      </w: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>контрольно-кассовую технику</w:t>
      </w:r>
    </w:p>
    <w:p w:rsidR="00975252" w:rsidRDefault="00975252" w:rsidP="009752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975252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539CE">
        <w:rPr>
          <w:rStyle w:val="af7"/>
          <w:rFonts w:ascii="Times New Roman" w:hAnsi="Times New Roman" w:cs="Times New Roman"/>
          <w:b w:val="0"/>
          <w:sz w:val="28"/>
          <w:szCs w:val="28"/>
        </w:rPr>
        <w:t>Западнодвинский район</w:t>
      </w:r>
    </w:p>
    <w:p w:rsidR="00975252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539CE">
        <w:rPr>
          <w:rFonts w:ascii="Times New Roman" w:hAnsi="Times New Roman" w:cs="Times New Roman"/>
          <w:sz w:val="28"/>
          <w:szCs w:val="28"/>
        </w:rPr>
        <w:t>Дер. Абаконово,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9CE">
        <w:rPr>
          <w:rFonts w:ascii="Times New Roman" w:hAnsi="Times New Roman" w:cs="Times New Roman"/>
          <w:sz w:val="28"/>
          <w:szCs w:val="28"/>
        </w:rPr>
        <w:t>дер. Агафоново, дер. Агрызково, дер. Акатьково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39CE">
        <w:rPr>
          <w:rFonts w:ascii="Times New Roman" w:hAnsi="Times New Roman" w:cs="Times New Roman"/>
          <w:sz w:val="28"/>
          <w:szCs w:val="28"/>
        </w:rPr>
        <w:t>ер. Алексан</w:t>
      </w:r>
      <w:r w:rsidRPr="00E539CE">
        <w:rPr>
          <w:rFonts w:ascii="Times New Roman" w:hAnsi="Times New Roman" w:cs="Times New Roman"/>
          <w:sz w:val="28"/>
          <w:szCs w:val="28"/>
        </w:rPr>
        <w:t>д</w:t>
      </w:r>
      <w:r w:rsidRPr="00E539CE">
        <w:rPr>
          <w:rFonts w:ascii="Times New Roman" w:hAnsi="Times New Roman" w:cs="Times New Roman"/>
          <w:sz w:val="28"/>
          <w:szCs w:val="28"/>
        </w:rPr>
        <w:t xml:space="preserve">ровское,дер. Альфимово,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Анашенки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Ануфриево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Астратово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, дер. Баево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Шараповское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),дер.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Барино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Барлово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Барсуки, дер. Белица,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Белод</w:t>
      </w:r>
      <w:r w:rsidRPr="00E539CE">
        <w:rPr>
          <w:rFonts w:ascii="Times New Roman" w:hAnsi="Times New Roman" w:cs="Times New Roman"/>
          <w:sz w:val="28"/>
          <w:szCs w:val="28"/>
        </w:rPr>
        <w:t>е</w:t>
      </w:r>
      <w:r w:rsidRPr="00E539CE">
        <w:rPr>
          <w:rFonts w:ascii="Times New Roman" w:hAnsi="Times New Roman" w:cs="Times New Roman"/>
          <w:sz w:val="28"/>
          <w:szCs w:val="28"/>
        </w:rPr>
        <w:t>дово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Белянкино,дер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Богатьково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Борок, дер. Брод, дер. Быково,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Век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шане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Великая Нива,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Веревкино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Вережуни,дер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Винокурово,дер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Виро</w:t>
      </w:r>
      <w:r w:rsidRPr="00E539CE">
        <w:rPr>
          <w:rFonts w:ascii="Times New Roman" w:hAnsi="Times New Roman" w:cs="Times New Roman"/>
          <w:sz w:val="28"/>
          <w:szCs w:val="28"/>
        </w:rPr>
        <w:t>в</w:t>
      </w:r>
      <w:r w:rsidRPr="00E539C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Вороново,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Высочерт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Вязки,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Ганощенки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39CE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Глазово, дер. Глубокое,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Гороваха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Гороховка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Граблино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пос. Дачный,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Дорожкино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Дорофеево, дер. Дудкино,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Жар, дер. Жданово,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Железово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Жерносеки,дер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Забежня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Загорье,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Заиловье,дер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Залужье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Замошье, дер. Заполье, дер. Заречье,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Злобино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Золотухи, дер. Иван - Труд,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Каськ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Качевицы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пос. Кирпичник,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Княжое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39CE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. Ковали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), дер. К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вали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Шараповское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),дер. Козино,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Коковкино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Кокорево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Колокутч</w:t>
      </w:r>
      <w:r w:rsidRPr="00E539CE">
        <w:rPr>
          <w:rFonts w:ascii="Times New Roman" w:hAnsi="Times New Roman" w:cs="Times New Roman"/>
          <w:sz w:val="28"/>
          <w:szCs w:val="28"/>
        </w:rPr>
        <w:t>и</w:t>
      </w:r>
      <w:r w:rsidRPr="00E539CE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Корняшово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Коробки,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Корякино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Котово,дер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Краснополье, дер. Кузнецы,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Кукуево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Лаврово,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Лазарево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Лисуново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Литвиново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Ломти,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Макеево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Мартьянково,дер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Михалево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Можайцы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рожа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Мосягино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Мухино, дер. Наумово, дер. Никополь,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Новки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39CE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Ново - Ивановское, дер. Новоселки, дер. Новостройка, дер. Новый Бор, пос. Озерки, дер. Орехово,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Осташково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Острожки,дер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Панщина,дер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Пахн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во,дер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 Петрово - 1,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Полутино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Поляки, дер. Починок,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Пр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плеткино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Пунево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Пятиверстица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Романово 2-е,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Русаново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Ильи</w:t>
      </w:r>
      <w:r w:rsidRPr="00E539CE">
        <w:rPr>
          <w:rFonts w:ascii="Times New Roman" w:hAnsi="Times New Roman" w:cs="Times New Roman"/>
          <w:sz w:val="28"/>
          <w:szCs w:val="28"/>
        </w:rPr>
        <w:t>н</w:t>
      </w:r>
      <w:r w:rsidRPr="00E539C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), пос.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Рясно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Сазоненки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Селечня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Селище, дер. Селяне, дер. Сеньково,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Симоново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Синец, дер. Скороходово,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Скрабы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Солово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Соломкино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539CE">
        <w:rPr>
          <w:rFonts w:ascii="Times New Roman" w:hAnsi="Times New Roman" w:cs="Times New Roman"/>
          <w:sz w:val="28"/>
          <w:szCs w:val="28"/>
        </w:rPr>
        <w:t>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Сосвятское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Старина,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Степаньково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Сутримино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Терехово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Тихоново,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Трофимово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Трубники,дер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Тюр</w:t>
      </w:r>
      <w:r w:rsidRPr="00E539CE">
        <w:rPr>
          <w:rFonts w:ascii="Times New Roman" w:hAnsi="Times New Roman" w:cs="Times New Roman"/>
          <w:sz w:val="28"/>
          <w:szCs w:val="28"/>
        </w:rPr>
        <w:t>и</w:t>
      </w:r>
      <w:r w:rsidRPr="00E539CE">
        <w:rPr>
          <w:rFonts w:ascii="Times New Roman" w:hAnsi="Times New Roman" w:cs="Times New Roman"/>
          <w:sz w:val="28"/>
          <w:szCs w:val="28"/>
        </w:rPr>
        <w:t>но,дер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Усадьба,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Уссодица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Фомино,дер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Фофаново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Фролово,дер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Хар</w:t>
      </w:r>
      <w:r w:rsidRPr="00E539CE">
        <w:rPr>
          <w:rFonts w:ascii="Times New Roman" w:hAnsi="Times New Roman" w:cs="Times New Roman"/>
          <w:sz w:val="28"/>
          <w:szCs w:val="28"/>
        </w:rPr>
        <w:t>и</w:t>
      </w:r>
      <w:r w:rsidRPr="00E539CE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Харланово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Хватково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Холм,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Хотино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Цикорево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, дер. Черн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 xml:space="preserve">зем, </w:t>
      </w:r>
      <w:proofErr w:type="gramStart"/>
      <w:r w:rsidRPr="00E539CE">
        <w:rPr>
          <w:rFonts w:ascii="Times New Roman" w:hAnsi="Times New Roman" w:cs="Times New Roman"/>
          <w:sz w:val="28"/>
          <w:szCs w:val="28"/>
        </w:rPr>
        <w:t>дер. Шарапово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Бенецкое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), дер. Шарапово (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Шараповское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 с/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),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Шеверд</w:t>
      </w:r>
      <w:r w:rsidRPr="00E539CE">
        <w:rPr>
          <w:rFonts w:ascii="Times New Roman" w:hAnsi="Times New Roman" w:cs="Times New Roman"/>
          <w:sz w:val="28"/>
          <w:szCs w:val="28"/>
        </w:rPr>
        <w:t>и</w:t>
      </w:r>
      <w:r w:rsidRPr="00E539CE">
        <w:rPr>
          <w:rFonts w:ascii="Times New Roman" w:hAnsi="Times New Roman" w:cs="Times New Roman"/>
          <w:sz w:val="28"/>
          <w:szCs w:val="28"/>
        </w:rPr>
        <w:lastRenderedPageBreak/>
        <w:t>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 дер. Шестаково,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Шетнево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Шинково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Шишово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Шлыки,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Щелкино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Щербино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Щиборово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Шниткино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Юхн</w:t>
      </w:r>
      <w:r w:rsidRPr="00E539CE">
        <w:rPr>
          <w:rFonts w:ascii="Times New Roman" w:hAnsi="Times New Roman" w:cs="Times New Roman"/>
          <w:sz w:val="28"/>
          <w:szCs w:val="28"/>
        </w:rPr>
        <w:t>о</w:t>
      </w:r>
      <w:r w:rsidRPr="00E539CE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 xml:space="preserve">, дер. Яковлево, дер. </w:t>
      </w:r>
      <w:proofErr w:type="spellStart"/>
      <w:r w:rsidRPr="00E539CE">
        <w:rPr>
          <w:rFonts w:ascii="Times New Roman" w:hAnsi="Times New Roman" w:cs="Times New Roman"/>
          <w:sz w:val="28"/>
          <w:szCs w:val="28"/>
        </w:rPr>
        <w:t>Яковлевское</w:t>
      </w:r>
      <w:proofErr w:type="spellEnd"/>
      <w:r w:rsidRPr="00E539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5252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Default="00975252" w:rsidP="00D617A5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Приложение  2</w:t>
      </w:r>
    </w:p>
    <w:p w:rsidR="00975252" w:rsidRDefault="00975252" w:rsidP="00D617A5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907">
        <w:rPr>
          <w:rFonts w:ascii="Times New Roman" w:hAnsi="Times New Roman" w:cs="Times New Roman"/>
          <w:sz w:val="28"/>
          <w:szCs w:val="28"/>
        </w:rPr>
        <w:t xml:space="preserve">Правительства                          Тверской области </w:t>
      </w:r>
    </w:p>
    <w:p w:rsidR="00975252" w:rsidRPr="00B24907" w:rsidRDefault="00975252" w:rsidP="00D617A5">
      <w:pPr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07.06.2017 № 172-пп</w:t>
      </w:r>
    </w:p>
    <w:p w:rsidR="00975252" w:rsidRPr="00B24907" w:rsidRDefault="00975252" w:rsidP="0097525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75252" w:rsidRPr="00B24907" w:rsidRDefault="00975252" w:rsidP="009752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5252" w:rsidRDefault="00975252" w:rsidP="00975252">
      <w:pPr>
        <w:jc w:val="center"/>
        <w:rPr>
          <w:rFonts w:ascii="Times New Roman" w:hAnsi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 xml:space="preserve">Критерии включения отдаленных или труднодоступных местностей </w:t>
      </w:r>
    </w:p>
    <w:p w:rsidR="00975252" w:rsidRDefault="00975252" w:rsidP="00975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 xml:space="preserve">в </w:t>
      </w:r>
      <w:r w:rsidRPr="00B24907">
        <w:rPr>
          <w:rFonts w:ascii="Times New Roman" w:hAnsi="Times New Roman" w:cs="Times New Roman"/>
          <w:sz w:val="28"/>
          <w:szCs w:val="28"/>
        </w:rPr>
        <w:t xml:space="preserve">Перечень отдаленных или труднодоступных местностей </w:t>
      </w:r>
    </w:p>
    <w:p w:rsidR="00975252" w:rsidRDefault="00975252" w:rsidP="00975252">
      <w:pPr>
        <w:jc w:val="center"/>
        <w:rPr>
          <w:rFonts w:ascii="Times New Roman" w:hAnsi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907">
        <w:rPr>
          <w:rFonts w:ascii="Times New Roman" w:hAnsi="Times New Roman"/>
          <w:sz w:val="28"/>
          <w:szCs w:val="28"/>
        </w:rPr>
        <w:t xml:space="preserve"> на территории которых организации </w:t>
      </w:r>
    </w:p>
    <w:p w:rsidR="00975252" w:rsidRPr="00B24907" w:rsidRDefault="00975252" w:rsidP="00975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/>
          <w:sz w:val="28"/>
          <w:szCs w:val="28"/>
        </w:rPr>
        <w:t>и индивидуальные предприниматели вправе при осуществлении расчетов не применять в соответствии с федеральным законодательством контрольно-кассовую технику</w:t>
      </w:r>
    </w:p>
    <w:p w:rsidR="00975252" w:rsidRPr="00B24907" w:rsidRDefault="00975252" w:rsidP="00975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52" w:rsidRPr="00B24907" w:rsidRDefault="00975252" w:rsidP="00975252">
      <w:pPr>
        <w:rPr>
          <w:rFonts w:ascii="Times New Roman" w:hAnsi="Times New Roman" w:cs="Times New Roman"/>
          <w:sz w:val="28"/>
          <w:szCs w:val="28"/>
        </w:rPr>
      </w:pPr>
    </w:p>
    <w:p w:rsidR="00975252" w:rsidRPr="00B24907" w:rsidRDefault="00975252" w:rsidP="00975252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1.Непроходимость дорог в отдельные периоды года.</w:t>
      </w:r>
    </w:p>
    <w:p w:rsidR="00975252" w:rsidRPr="00B24907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2.Отсутствие регулярного пассажирского сообщения наземным транспортом общего пользования с районным центром.</w:t>
      </w:r>
    </w:p>
    <w:p w:rsidR="00975252" w:rsidRPr="00B24907" w:rsidRDefault="00975252" w:rsidP="00975252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 xml:space="preserve">3.Численность населения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4907">
        <w:rPr>
          <w:rFonts w:ascii="Times New Roman" w:hAnsi="Times New Roman" w:cs="Times New Roman"/>
          <w:sz w:val="28"/>
          <w:szCs w:val="28"/>
        </w:rPr>
        <w:t xml:space="preserve"> не более 150 человек.</w:t>
      </w:r>
    </w:p>
    <w:p w:rsidR="00975252" w:rsidRPr="00B24907" w:rsidRDefault="00975252" w:rsidP="00975252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4.Отдаленность от населенного пункта, в котором расположен стационарный торговый объект,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24907">
        <w:rPr>
          <w:rFonts w:ascii="Times New Roman" w:hAnsi="Times New Roman" w:cs="Times New Roman"/>
          <w:sz w:val="28"/>
          <w:szCs w:val="28"/>
        </w:rPr>
        <w:t xml:space="preserve"> более 3 километров.</w:t>
      </w:r>
    </w:p>
    <w:p w:rsidR="00975252" w:rsidRPr="00B24907" w:rsidRDefault="00975252" w:rsidP="00975252">
      <w:pPr>
        <w:rPr>
          <w:rFonts w:ascii="Times New Roman" w:hAnsi="Times New Roman" w:cs="Times New Roman"/>
          <w:sz w:val="28"/>
          <w:szCs w:val="28"/>
        </w:rPr>
      </w:pPr>
      <w:r w:rsidRPr="00B24907">
        <w:rPr>
          <w:rFonts w:ascii="Times New Roman" w:hAnsi="Times New Roman" w:cs="Times New Roman"/>
          <w:sz w:val="28"/>
          <w:szCs w:val="28"/>
        </w:rPr>
        <w:t>5.Наличие дорог только с грунтовым покрытием или проселочные дороги.</w:t>
      </w:r>
    </w:p>
    <w:p w:rsidR="00975252" w:rsidRPr="00B24907" w:rsidRDefault="00975252" w:rsidP="00975252">
      <w:pPr>
        <w:rPr>
          <w:sz w:val="28"/>
          <w:szCs w:val="28"/>
        </w:rPr>
      </w:pPr>
    </w:p>
    <w:p w:rsidR="00975252" w:rsidRPr="00E539CE" w:rsidRDefault="00975252" w:rsidP="0097525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975252">
      <w:pPr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97525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75252" w:rsidRPr="00E539CE" w:rsidRDefault="00975252" w:rsidP="00975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252" w:rsidRPr="0023463F" w:rsidRDefault="00975252" w:rsidP="0097525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53A6" w:rsidRPr="00975252" w:rsidRDefault="00975252" w:rsidP="00975252">
      <w:r w:rsidRPr="00975252">
        <w:rPr>
          <w:szCs w:val="28"/>
        </w:rPr>
        <w:t xml:space="preserve"> </w:t>
      </w:r>
    </w:p>
    <w:sectPr w:rsidR="00F253A6" w:rsidRPr="00975252" w:rsidSect="00975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40FC"/>
    <w:multiLevelType w:val="hybridMultilevel"/>
    <w:tmpl w:val="4032101E"/>
    <w:lvl w:ilvl="0" w:tplc="C6F42E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975252"/>
    <w:rsid w:val="000827B2"/>
    <w:rsid w:val="003C6178"/>
    <w:rsid w:val="0044072C"/>
    <w:rsid w:val="00975252"/>
    <w:rsid w:val="00C10637"/>
    <w:rsid w:val="00C52F2E"/>
    <w:rsid w:val="00CE1C97"/>
    <w:rsid w:val="00D617A5"/>
    <w:rsid w:val="00F2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1063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1063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63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63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63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63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63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63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63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6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06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106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1063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063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1063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1063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1063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1063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106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106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1063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C10637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C10637"/>
    <w:rPr>
      <w:b/>
      <w:bCs/>
    </w:rPr>
  </w:style>
  <w:style w:type="character" w:styleId="a8">
    <w:name w:val="Emphasis"/>
    <w:basedOn w:val="a0"/>
    <w:uiPriority w:val="20"/>
    <w:qFormat/>
    <w:rsid w:val="00C10637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C10637"/>
    <w:rPr>
      <w:szCs w:val="32"/>
    </w:rPr>
  </w:style>
  <w:style w:type="paragraph" w:styleId="ab">
    <w:name w:val="List Paragraph"/>
    <w:basedOn w:val="a"/>
    <w:uiPriority w:val="34"/>
    <w:qFormat/>
    <w:rsid w:val="00C106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0637"/>
    <w:rPr>
      <w:i/>
    </w:rPr>
  </w:style>
  <w:style w:type="character" w:customStyle="1" w:styleId="22">
    <w:name w:val="Цитата 2 Знак"/>
    <w:basedOn w:val="a0"/>
    <w:link w:val="21"/>
    <w:uiPriority w:val="29"/>
    <w:rsid w:val="00C1063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10637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1063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C1063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1063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1063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1063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1063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10637"/>
    <w:pPr>
      <w:outlineLvl w:val="9"/>
    </w:pPr>
  </w:style>
  <w:style w:type="character" w:customStyle="1" w:styleId="af4">
    <w:name w:val="Гипертекстовая ссылка"/>
    <w:uiPriority w:val="99"/>
    <w:rsid w:val="00975252"/>
    <w:rPr>
      <w:rFonts w:cs="Times New Roman"/>
      <w:b/>
      <w:color w:val="106BBE"/>
    </w:rPr>
  </w:style>
  <w:style w:type="character" w:customStyle="1" w:styleId="aa">
    <w:name w:val="Без интервала Знак"/>
    <w:link w:val="a9"/>
    <w:uiPriority w:val="1"/>
    <w:locked/>
    <w:rsid w:val="00975252"/>
    <w:rPr>
      <w:sz w:val="24"/>
      <w:szCs w:val="32"/>
    </w:rPr>
  </w:style>
  <w:style w:type="paragraph" w:styleId="af5">
    <w:name w:val="Balloon Text"/>
    <w:basedOn w:val="a"/>
    <w:link w:val="af6"/>
    <w:uiPriority w:val="99"/>
    <w:semiHidden/>
    <w:unhideWhenUsed/>
    <w:rsid w:val="0097525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5252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f7">
    <w:name w:val="Цветовое выделение"/>
    <w:uiPriority w:val="99"/>
    <w:rsid w:val="0097525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08203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2017-06-09T12:20:00Z</dcterms:created>
  <dcterms:modified xsi:type="dcterms:W3CDTF">2017-06-09T12:29:00Z</dcterms:modified>
</cp:coreProperties>
</file>